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3C" w:rsidRPr="00436768" w:rsidRDefault="00014E3C" w:rsidP="00014E3C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014E3C" w:rsidRPr="009D3357" w:rsidRDefault="00014E3C" w:rsidP="00014E3C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14E3C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CD0722" w:rsidRPr="00E523C1" w:rsidTr="0026684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D0722" w:rsidRPr="00E523C1" w:rsidRDefault="00CD0722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22" w:rsidRPr="00E523C1" w:rsidRDefault="00CD0722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965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 Dojč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965C3">
              <w:rPr>
                <w:rFonts w:asciiTheme="minorHAnsi" w:hAnsiTheme="minorHAnsi" w:cstheme="minorHAnsi"/>
                <w:sz w:val="22"/>
                <w:szCs w:val="22"/>
              </w:rPr>
              <w:t>906 02 Dojč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125</w:t>
            </w:r>
          </w:p>
        </w:tc>
      </w:tr>
      <w:tr w:rsidR="00CD0722" w:rsidRPr="00E523C1" w:rsidTr="0026684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D0722" w:rsidRPr="00E523C1" w:rsidRDefault="00CD0722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22" w:rsidRPr="00CD1EDD" w:rsidRDefault="00DF1598" w:rsidP="00EB49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F1598">
              <w:rPr>
                <w:rFonts w:asciiTheme="minorHAnsi" w:hAnsiTheme="minorHAnsi" w:cstheme="minorHAnsi"/>
                <w:b/>
                <w:sz w:val="22"/>
                <w:szCs w:val="22"/>
              </w:rPr>
              <w:t>Varovný a vyrozumievací systém - Dojč</w:t>
            </w:r>
            <w:bookmarkStart w:id="0" w:name="_GoBack"/>
            <w:bookmarkEnd w:id="0"/>
          </w:p>
        </w:tc>
      </w:tr>
    </w:tbl>
    <w:p w:rsidR="00CD0722" w:rsidRDefault="00CD0722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014E3C" w:rsidRPr="009D3357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014E3C" w:rsidRPr="00436768" w:rsidRDefault="00014E3C" w:rsidP="00014E3C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014E3C" w:rsidRDefault="00014E3C" w:rsidP="00014E3C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014E3C" w:rsidRPr="009D3357" w:rsidTr="00C67E19">
        <w:trPr>
          <w:cantSplit/>
          <w:trHeight w:val="1287"/>
        </w:trPr>
        <w:tc>
          <w:tcPr>
            <w:tcW w:w="3828" w:type="dxa"/>
            <w:shd w:val="clear" w:color="auto" w:fill="DBE5F1"/>
            <w:vAlign w:val="center"/>
          </w:tcPr>
          <w:p w:rsidR="00014E3C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Uchádzač / skupina dodávateľov</w:t>
            </w:r>
          </w:p>
          <w:p w:rsidR="00014E3C" w:rsidRPr="004D52A3" w:rsidRDefault="00014E3C" w:rsidP="00C67E19">
            <w:pPr>
              <w:widowControl/>
              <w:suppressAutoHyphens w:val="0"/>
              <w:rPr>
                <w:rFonts w:asciiTheme="minorHAnsi" w:hAnsiTheme="minorHAnsi" w:cstheme="minorHAnsi"/>
                <w:i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názov, sídlo, IČO)</w:t>
            </w:r>
          </w:p>
        </w:tc>
        <w:tc>
          <w:tcPr>
            <w:tcW w:w="5670" w:type="dxa"/>
          </w:tcPr>
          <w:p w:rsidR="00014E3C" w:rsidRPr="009D3357" w:rsidRDefault="00014E3C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9"/>
        <w:gridCol w:w="4113"/>
      </w:tblGrid>
      <w:tr w:rsidR="00014E3C" w:rsidTr="00C67E19">
        <w:trPr>
          <w:trHeight w:val="744"/>
        </w:trPr>
        <w:tc>
          <w:tcPr>
            <w:tcW w:w="5317" w:type="dxa"/>
            <w:shd w:val="clear" w:color="auto" w:fill="FFFFFF"/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014E3C" w:rsidTr="00C67E1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C1536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Z</w:t>
            </w:r>
            <w:r w:rsidR="00014E3C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mluvná cena bez DPH</w:t>
            </w:r>
            <w:r w:rsidR="004B5E08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(%)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14E3C" w:rsidTr="004B5E08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014E3C" w:rsidRDefault="00C15366" w:rsidP="00C67E1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Z</w:t>
            </w:r>
            <w:r w:rsidR="00014E3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mluvná cena celkom s DPH </w:t>
            </w:r>
          </w:p>
          <w:p w:rsidR="00014E3C" w:rsidRDefault="00014E3C" w:rsidP="00C15366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(„zmluvná cena“)</w:t>
            </w:r>
            <w:r w:rsidR="004B5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 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014E3C" w:rsidRDefault="00014E3C" w:rsidP="00C67E1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Default="00014E3C" w:rsidP="00014E3C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014E3C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014E3C" w:rsidTr="00C67E1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14E3C" w:rsidRDefault="00014E3C" w:rsidP="00C67E19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zmluvná cena</w:t>
            </w:r>
          </w:p>
          <w:p w:rsidR="00014E3C" w:rsidRDefault="00014E3C" w:rsidP="00C15366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(„zmluvná cena“)</w:t>
            </w:r>
            <w:r w:rsidR="004B5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014E3C" w:rsidRDefault="00014E3C" w:rsidP="00C67E19">
            <w:pPr>
              <w:widowControl/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014E3C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Default="00014E3C" w:rsidP="00014E3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>
        <w:rPr>
          <w:rFonts w:asciiTheme="minorHAnsi" w:hAnsiTheme="minorHAnsi" w:cstheme="minorHAnsi"/>
          <w:b/>
          <w:sz w:val="20"/>
          <w:szCs w:val="20"/>
        </w:rPr>
        <w:t>Sme – nie sme platcom DPH (nehodiace sa škrtnúť)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014E3C" w:rsidRPr="009D3357" w:rsidRDefault="00014E3C" w:rsidP="00014E3C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D43FCF" w:rsidRDefault="00014E3C" w:rsidP="00CD0722">
      <w:pPr>
        <w:suppressAutoHyphens w:val="0"/>
        <w:spacing w:line="245" w:lineRule="exact"/>
        <w:jc w:val="both"/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14E3C"/>
    <w:rsid w:val="00014E3C"/>
    <w:rsid w:val="0032324E"/>
    <w:rsid w:val="004B5E08"/>
    <w:rsid w:val="00571F73"/>
    <w:rsid w:val="008C1B35"/>
    <w:rsid w:val="00C15366"/>
    <w:rsid w:val="00CD0722"/>
    <w:rsid w:val="00D43FCF"/>
    <w:rsid w:val="00DF1598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5277A-D506-465C-A13E-77D0FBC1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4E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14E3C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14E3C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14E3C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14E3C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3</cp:revision>
  <dcterms:created xsi:type="dcterms:W3CDTF">2020-07-07T06:02:00Z</dcterms:created>
  <dcterms:modified xsi:type="dcterms:W3CDTF">2020-09-16T13:22:00Z</dcterms:modified>
</cp:coreProperties>
</file>